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Bucaramanga, 26 de mayo de 2026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MEMORANDO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SG-GDJI-325-2026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PARA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:         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CARLOS EDUARDO BONCE ZAFRA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ab/>
        <w:t xml:space="preserve">         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Subdirector de Evaluación y Control Ambiental- SEYCA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:  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           MARIA CATALINA HERNANDEZ PINZÓN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08" w:firstLine="0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        Coordinadora Grupo Defensa Jurídica Integral 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ASUNTO: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Concepto técnico sobre la solicitud de suspensión del procedimiento sancionatorio ambiental – artículo 18A de la Ley 1333 de 2009 modificada por la Ley 2387 de 2024 – Expediente SA-0038-2022. 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Cordial Saludo,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 través de la presente comunicación, se informa que la sociedad PROGRESAN S.A., identificada con NIT. 890.212.985-9, a través de oficio recibido con radicado CDMB No. 10839 del 22 de mayo de 2026, allegó pro puesta de medidas para la corrección, restauración y compensación ambiental.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Cabe destacar que la mentada sociedad, con anterioridad había solicitado la suspensión del proceso ambiental sancionatorio; no obstante, se decidió negar la misma mediante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Auto No. 1087 del 21 de noviembre de 2025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, confirmada a su vez por el </w:t>
      </w: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Auto No. 0014 del 03 de febrero de 2026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, esto bajo el análisis técnico realizado por la Subdirección de Evaluación y Control Ambiental remitido mediante memorando SEYCA-656-2025 del 31 de octubre de 2025. 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Bajo esa línea argumentativa, es pertinente que en el ámbito de sus competencias procedan a efectuar un nuevo estudio respecto de esta nueva propuesta y plan de medidas de restauración y compensación ambiental y determinar bajo los criterios técnicos si el mismo puede ser avalado por la Corporación para proceder a la aplicación de lo dispuesto en el artículo 18A de la norma ibidem. 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Así las cosas, se remite con el presente memorando copia integra del plan de corrección y/o compensación ambiental ajustado. 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Atentamente, </w:t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MARIA CATALINA HERNANDEZ PINZÓN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Coordinadora Grupo Defensa Jurídica Integral </w:t>
      </w: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142"/>
        <w:tblW w:w="8857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47"/>
        <w:gridCol w:w="2877"/>
        <w:gridCol w:w="3843"/>
        <w:gridCol w:w="990"/>
        <w:tblGridChange w:id="0">
          <w:tblGrid>
            <w:gridCol w:w="1147"/>
            <w:gridCol w:w="2877"/>
            <w:gridCol w:w="3843"/>
            <w:gridCol w:w="990"/>
          </w:tblGrid>
        </w:tblGridChange>
      </w:tblGrid>
      <w:tr>
        <w:trPr>
          <w:cantSplit w:val="0"/>
          <w:trHeight w:val="2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Proyectó: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Diego Fernando Gómez Silva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Abogado Contratista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sectPr>
      <w:pgSz w:h="20160" w:w="12240" w:orient="portrait"/>
      <w:pgMar w:bottom="1417" w:top="141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t/se0q8tPh/agwGgw+nFnUST0Q==">CgMxLjA4AHIhMURfakc3Z2ZtTDZBSEJrVEo2VVM3TElvMDkySzNjY29p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